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A5C" w:rsidRPr="00A85DBD" w:rsidRDefault="00A85DBD" w:rsidP="00C84A5C">
      <w:pPr>
        <w:pStyle w:val="NoSpacing"/>
      </w:pPr>
      <w:r w:rsidRPr="00A85DBD">
        <w:rPr>
          <w:b/>
          <w:highlight w:val="yellow"/>
        </w:rPr>
        <w:t>Overtime</w:t>
      </w:r>
    </w:p>
    <w:p w:rsidR="00C84A5C" w:rsidRPr="00A85DBD" w:rsidRDefault="00C84A5C" w:rsidP="00C84A5C">
      <w:pPr>
        <w:pStyle w:val="NoSpacing"/>
        <w:rPr>
          <w:b/>
          <w:u w:val="single"/>
        </w:rPr>
      </w:pPr>
      <w:r w:rsidRPr="00A85DBD">
        <w:rPr>
          <w:b/>
          <w:u w:val="single"/>
        </w:rPr>
        <w:t>MIAA Tie-Breaker Rule (from MIAA Handbook)</w:t>
      </w:r>
    </w:p>
    <w:p w:rsidR="00C84A5C" w:rsidRDefault="00C84A5C" w:rsidP="00C84A5C">
      <w:pPr>
        <w:pStyle w:val="NoSpacing"/>
        <w:ind w:left="720"/>
      </w:pPr>
      <w:r>
        <w:t xml:space="preserve">69.3.1 The MIAA Football Tie-Breaker Rule, multiple overtime periods: will ensure that the game will not end in a tie. </w:t>
      </w:r>
    </w:p>
    <w:p w:rsidR="00C84A5C" w:rsidRDefault="00C84A5C" w:rsidP="00804D88">
      <w:pPr>
        <w:pStyle w:val="NoSpacing"/>
        <w:ind w:left="1440"/>
      </w:pPr>
      <w:r>
        <w:t xml:space="preserve">69.3.1.1 Additional overtime periods will be used if teams are tied at the end of regulation or succeeding overtime periods. </w:t>
      </w:r>
    </w:p>
    <w:p w:rsidR="00C84A5C" w:rsidRDefault="00C84A5C" w:rsidP="00C84A5C">
      <w:pPr>
        <w:pStyle w:val="NoSpacing"/>
        <w:ind w:left="1440"/>
      </w:pPr>
    </w:p>
    <w:p w:rsidR="00C84A5C" w:rsidRDefault="00C84A5C" w:rsidP="00C84A5C">
      <w:pPr>
        <w:pStyle w:val="NoSpacing"/>
        <w:ind w:left="1440"/>
      </w:pPr>
      <w:r>
        <w:t xml:space="preserve">69.3.1.2 Each series shall begin at the ten-yard line unless a penalty overrides. First down chains will not be used. It is always goal-to-go. If penalty enforcement calls for an automatic first down, it will be first and goal. </w:t>
      </w:r>
    </w:p>
    <w:p w:rsidR="00C84A5C" w:rsidRDefault="00C84A5C" w:rsidP="00C84A5C">
      <w:pPr>
        <w:pStyle w:val="NoSpacing"/>
        <w:ind w:left="720" w:firstLine="720"/>
      </w:pPr>
    </w:p>
    <w:p w:rsidR="00C84A5C" w:rsidRDefault="00C84A5C" w:rsidP="00C84A5C">
      <w:pPr>
        <w:pStyle w:val="NoSpacing"/>
        <w:ind w:left="1440"/>
      </w:pPr>
      <w:r>
        <w:t xml:space="preserve">69.3.1.3 For the first and subsequent tie breaking periods, any team that scores a touchdown must attempt a </w:t>
      </w:r>
      <w:proofErr w:type="gramStart"/>
      <w:r>
        <w:t>two point</w:t>
      </w:r>
      <w:proofErr w:type="gramEnd"/>
      <w:r>
        <w:t xml:space="preserve"> conversion by run or pass from scrimmage. </w:t>
      </w:r>
    </w:p>
    <w:p w:rsidR="00C84A5C" w:rsidRDefault="00C84A5C" w:rsidP="00C84A5C">
      <w:pPr>
        <w:pStyle w:val="NoSpacing"/>
        <w:ind w:left="720" w:firstLine="720"/>
      </w:pPr>
    </w:p>
    <w:p w:rsidR="00C84A5C" w:rsidRDefault="00C84A5C" w:rsidP="00C84A5C">
      <w:pPr>
        <w:pStyle w:val="NoSpacing"/>
        <w:ind w:left="1440"/>
      </w:pPr>
      <w:r>
        <w:t>69.3.1.4 If there is a change of team possession during the last play of an overtime period (second series), live ball personal fouls or live ball unsportsmanlike conduct fouls by opponents of the team last gaining possession, that occur after the change of possession, gives the team in possession the option of putting the ball in play, where the penalty leaves the ball, for one down free of penalty or penalize as a dead ball foul at the succeeding spot in the subsequent overtime period. This option is exercised only if the team last gaining possession is free of foul during the down.</w:t>
      </w:r>
    </w:p>
    <w:p w:rsidR="00C84A5C" w:rsidRPr="00C84A5C" w:rsidRDefault="00C84A5C" w:rsidP="00C84A5C">
      <w:pPr>
        <w:pStyle w:val="NoSpacing"/>
        <w:ind w:left="2160"/>
        <w:rPr>
          <w:i/>
        </w:rPr>
      </w:pPr>
      <w:r w:rsidRPr="00C84A5C">
        <w:rPr>
          <w:i/>
        </w:rPr>
        <w:t xml:space="preserve">Example: Second Series - Team B </w:t>
      </w:r>
      <w:proofErr w:type="gramStart"/>
      <w:r w:rsidRPr="00C84A5C">
        <w:rPr>
          <w:i/>
        </w:rPr>
        <w:t>intercepts</w:t>
      </w:r>
      <w:proofErr w:type="gramEnd"/>
      <w:r w:rsidRPr="00C84A5C">
        <w:rPr>
          <w:i/>
        </w:rPr>
        <w:t xml:space="preserve"> Team A's pass and, during Team B's run back, Team A commits a personal foul. </w:t>
      </w:r>
    </w:p>
    <w:p w:rsidR="00C84A5C" w:rsidRDefault="00C84A5C" w:rsidP="00C84A5C">
      <w:pPr>
        <w:pStyle w:val="NoSpacing"/>
        <w:ind w:left="2160"/>
        <w:rPr>
          <w:i/>
        </w:rPr>
      </w:pPr>
      <w:r w:rsidRPr="00C84A5C">
        <w:rPr>
          <w:i/>
        </w:rPr>
        <w:t>Ruling: Team B has the option of extending the overtime period for one down free of penalty, with Team B putting the ball in play where the penalty leaves the ball, provided Team B has not fouled during the down. Or Team B may choose to penalize as a dead ball foul at the succeeding spot in the subsequent overtime period.</w:t>
      </w:r>
    </w:p>
    <w:p w:rsidR="0079070B" w:rsidRDefault="0079070B" w:rsidP="0079070B">
      <w:pPr>
        <w:pStyle w:val="NoSpacing"/>
        <w:rPr>
          <w:i/>
        </w:rPr>
      </w:pPr>
    </w:p>
    <w:p w:rsidR="0079070B" w:rsidRPr="00A85DBD" w:rsidRDefault="0079070B" w:rsidP="0079070B">
      <w:pPr>
        <w:pStyle w:val="NoSpacing"/>
        <w:rPr>
          <w:b/>
          <w:u w:val="single"/>
        </w:rPr>
      </w:pPr>
      <w:r w:rsidRPr="00A85DBD">
        <w:rPr>
          <w:b/>
          <w:u w:val="single"/>
        </w:rPr>
        <w:t>NFHS Resolving Tied Games</w:t>
      </w:r>
    </w:p>
    <w:p w:rsidR="0079070B" w:rsidRDefault="0079070B" w:rsidP="0079070B">
      <w:pPr>
        <w:pStyle w:val="NoSpacing"/>
        <w:rPr>
          <w:b/>
        </w:rPr>
      </w:pPr>
      <w:r>
        <w:rPr>
          <w:b/>
        </w:rPr>
        <w:tab/>
        <w:t>Pages 84-85 in 2018 NFHS Football Rules Book</w:t>
      </w:r>
      <w:r w:rsidR="00A85DBD">
        <w:rPr>
          <w:b/>
        </w:rPr>
        <w:t xml:space="preserve"> (also in 2019 book if you have that); no changes from 2018)</w:t>
      </w:r>
    </w:p>
    <w:p w:rsidR="00A85DBD" w:rsidRDefault="00A85DBD" w:rsidP="0079070B">
      <w:pPr>
        <w:pStyle w:val="NoSpacing"/>
        <w:rPr>
          <w:b/>
        </w:rPr>
      </w:pPr>
    </w:p>
    <w:p w:rsidR="006441B7" w:rsidRDefault="006441B7" w:rsidP="0079070B">
      <w:pPr>
        <w:pStyle w:val="NoSpacing"/>
        <w:rPr>
          <w:b/>
        </w:rPr>
      </w:pPr>
    </w:p>
    <w:p w:rsidR="0079070B" w:rsidRPr="00C84A5C" w:rsidRDefault="006441B7" w:rsidP="0079070B">
      <w:pPr>
        <w:pStyle w:val="NoSpacing"/>
        <w:rPr>
          <w:b/>
        </w:rPr>
      </w:pPr>
      <w:r w:rsidRPr="00A85DBD">
        <w:rPr>
          <w:b/>
          <w:highlight w:val="yellow"/>
        </w:rPr>
        <w:t>MIAA Sportsmanship: Taunting</w:t>
      </w:r>
    </w:p>
    <w:p w:rsidR="0079070B" w:rsidRDefault="0079070B" w:rsidP="0079070B">
      <w:pPr>
        <w:pStyle w:val="NoSpacing"/>
        <w:rPr>
          <w:i/>
        </w:rPr>
      </w:pPr>
    </w:p>
    <w:p w:rsidR="006441B7" w:rsidRDefault="006441B7" w:rsidP="006441B7">
      <w:pPr>
        <w:pStyle w:val="NoSpacing"/>
        <w:ind w:left="720" w:hanging="720"/>
      </w:pPr>
      <w:r>
        <w:t xml:space="preserve">48.1 </w:t>
      </w:r>
      <w:r>
        <w:tab/>
      </w:r>
      <w:r>
        <w:t xml:space="preserve">Taunting includes any actions or comments by coaches, players, or spectators which are intended to bait, anger, embarrass, ridicule, or demean others, whether or not the deeds or words are vulgar or racist. Included is conduct that berates, needles, intimidates, or threatens, based on race, gender identity, ethnic origin or background, and conduct that attacks religious beliefs, size, economic status, speech, family, special needs, or personal characteristics. </w:t>
      </w:r>
    </w:p>
    <w:p w:rsidR="006441B7" w:rsidRDefault="006441B7" w:rsidP="006441B7">
      <w:pPr>
        <w:pStyle w:val="NoSpacing"/>
        <w:ind w:left="1440"/>
      </w:pPr>
      <w:r>
        <w:t>Examples of taunting include but are not limited to: "trash talk", defined as verbal communication of a personal nature directed by a competitor to an opponent by ridiculing skills, efforts, sexual orientation, or lack of success, which is likely to provoke an altercation or physical response; and physical intimidation outside the spirit of the game, including "in the face" confrontation by one player to another, standing over/straddling a tackled o</w:t>
      </w:r>
      <w:r>
        <w:t>r fallen player, etc.</w:t>
      </w:r>
    </w:p>
    <w:p w:rsidR="006441B7" w:rsidRDefault="006441B7" w:rsidP="006441B7">
      <w:pPr>
        <w:pStyle w:val="NoSpacing"/>
        <w:ind w:left="720" w:hanging="720"/>
      </w:pPr>
      <w:r>
        <w:t xml:space="preserve">48.3 </w:t>
      </w:r>
      <w:r>
        <w:tab/>
      </w:r>
      <w:r>
        <w:t xml:space="preserve">In all sports, officials are to consider taunting </w:t>
      </w:r>
      <w:r w:rsidRPr="006441B7">
        <w:rPr>
          <w:u w:val="single"/>
        </w:rPr>
        <w:t>a flagrant unsportsmanlike offense that disqualifies the offending bench personnel or contestant from that contest/day of competition</w:t>
      </w:r>
      <w:r>
        <w:t xml:space="preserve">. In addition, the offender shall be subject to all existing MIAA Disqualification Rules. A review of the MIAA taunting policy and a warning shall be given to both teams by game officials prior to each contest. </w:t>
      </w:r>
    </w:p>
    <w:p w:rsidR="006441B7" w:rsidRDefault="006441B7" w:rsidP="006441B7">
      <w:pPr>
        <w:pStyle w:val="NoSpacing"/>
        <w:ind w:left="720" w:hanging="720"/>
      </w:pPr>
    </w:p>
    <w:p w:rsidR="006441B7" w:rsidRPr="00C84A5C" w:rsidRDefault="006441B7" w:rsidP="006441B7">
      <w:pPr>
        <w:pStyle w:val="NoSpacing"/>
        <w:ind w:left="720" w:hanging="720"/>
        <w:rPr>
          <w:i/>
        </w:rPr>
      </w:pPr>
      <w:r>
        <w:t xml:space="preserve">48.4 </w:t>
      </w:r>
      <w:r>
        <w:tab/>
      </w:r>
      <w:r>
        <w:t>At all MIAA contest sites and tournament venues, contest management may give spectators one warning for taunting. Thereafter, spectators who taunt players,</w:t>
      </w:r>
      <w:r>
        <w:t xml:space="preserve"> coaches, game officials, or other spectators should be ejected</w:t>
      </w:r>
    </w:p>
    <w:sectPr w:rsidR="006441B7" w:rsidRPr="00C84A5C" w:rsidSect="00A85DBD">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A5C"/>
    <w:rsid w:val="000420CA"/>
    <w:rsid w:val="006441B7"/>
    <w:rsid w:val="0079070B"/>
    <w:rsid w:val="00804D88"/>
    <w:rsid w:val="00A85DBD"/>
    <w:rsid w:val="00C84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E1711"/>
  <w15:chartTrackingRefBased/>
  <w15:docId w15:val="{A53D1D27-5337-42E0-9AB2-2122821D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4A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9224C-5B38-43D0-A150-DBF41F160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517</Words>
  <Characters>2950</Characters>
  <Application>Microsoft Office Word</Application>
  <DocSecurity>0</DocSecurity>
  <Lines>24</Lines>
  <Paragraphs>6</Paragraphs>
  <ScaleCrop>false</ScaleCrop>
  <Company>US Tsubaki Holdings, Inc.</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Tidlund</dc:creator>
  <cp:keywords/>
  <dc:description/>
  <cp:lastModifiedBy>Scott Tidlund</cp:lastModifiedBy>
  <cp:revision>3</cp:revision>
  <dcterms:created xsi:type="dcterms:W3CDTF">2019-10-21T20:53:00Z</dcterms:created>
  <dcterms:modified xsi:type="dcterms:W3CDTF">2019-10-21T20:53:00Z</dcterms:modified>
</cp:coreProperties>
</file>